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498" w:type="dxa"/>
        <w:jc w:val="center"/>
        <w:tblLayout w:type="autofit"/>
        <w:tblCellMar>
          <w:top w:w="0" w:type="dxa"/>
          <w:left w:w="108" w:type="dxa"/>
          <w:bottom w:w="0" w:type="dxa"/>
          <w:right w:w="108" w:type="dxa"/>
        </w:tblCellMar>
      </w:tblPr>
      <w:tblGrid>
        <w:gridCol w:w="3402"/>
        <w:gridCol w:w="6096"/>
      </w:tblGrid>
      <w:tr w14:paraId="1766C6C8">
        <w:tblPrEx>
          <w:tblCellMar>
            <w:top w:w="0" w:type="dxa"/>
            <w:left w:w="108" w:type="dxa"/>
            <w:bottom w:w="0" w:type="dxa"/>
            <w:right w:w="108" w:type="dxa"/>
          </w:tblCellMar>
        </w:tblPrEx>
        <w:trPr>
          <w:jc w:val="center"/>
        </w:trPr>
        <w:tc>
          <w:tcPr>
            <w:tcW w:w="3402" w:type="dxa"/>
            <w:tcBorders>
              <w:top w:val="nil"/>
              <w:left w:val="nil"/>
              <w:bottom w:val="nil"/>
              <w:right w:val="nil"/>
            </w:tcBorders>
          </w:tcPr>
          <w:p w14:paraId="75D0D784">
            <w:pPr>
              <w:widowControl w:val="0"/>
              <w:shd w:val="clear"/>
              <w:spacing w:after="0" w:line="240" w:lineRule="auto"/>
              <w:jc w:val="center"/>
              <w:rPr>
                <w:rFonts w:ascii="Times New Roman" w:hAnsi="Times New Roman" w:cs="Times New Roman"/>
                <w:sz w:val="28"/>
                <w:szCs w:val="28"/>
              </w:rPr>
            </w:pPr>
            <w:r>
              <w:rPr>
                <w:rFonts w:ascii="Times New Roman" w:hAnsi="Times New Roman" w:cs="Times New Roman"/>
                <w:i/>
                <w:iCs/>
                <w:sz w:val="28"/>
                <w:szCs w:val="28"/>
              </w:rPr>
              <mc:AlternateContent>
                <mc:Choice Requires="wps">
                  <w:drawing>
                    <wp:anchor distT="0" distB="0" distL="114300" distR="114300" simplePos="0" relativeHeight="251661312" behindDoc="0" locked="0" layoutInCell="1" allowOverlap="1">
                      <wp:simplePos x="0" y="0"/>
                      <wp:positionH relativeFrom="column">
                        <wp:posOffset>516890</wp:posOffset>
                      </wp:positionH>
                      <wp:positionV relativeFrom="paragraph">
                        <wp:posOffset>382905</wp:posOffset>
                      </wp:positionV>
                      <wp:extent cx="89979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89979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y;margin-left:40.7pt;margin-top:30.15pt;height:0pt;width:70.85pt;z-index:251661312;mso-width-relative:page;mso-height-relative:page;" filled="f" stroked="t" coordsize="21600,21600" o:gfxdata="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8kLFHWAAAACAEAAA8AAAAA&#10;AAAAAQAgAAAAIgAAAGRycy9kb3ducmV2LnhtbFBLAQIUABQAAAAIAIdO4kD4X2cu3QEAAMsDAAAO&#10;AAAAAAAAAAEAIAAAACUBAABkcnMvZTJvRG9jLnhtbFBLBQYAAAAABgAGAFkBAAB0BQAAAAA=&#10;">
                      <v:fill on="f" focussize="0,0"/>
                      <v:stroke weight="0.5pt" color="#000000 [3200]" miterlimit="8" joinstyle="miter"/>
                      <v:imagedata o:title=""/>
                      <o:lock v:ext="edit" aspectratio="f"/>
                    </v:line>
                  </w:pict>
                </mc:Fallback>
              </mc:AlternateContent>
            </w:r>
            <w:r>
              <w:rPr>
                <w:rFonts w:ascii="Times New Roman" w:hAnsi="Times New Roman" w:cs="Times New Roman"/>
                <w:b/>
                <w:sz w:val="28"/>
                <w:szCs w:val="28"/>
              </w:rPr>
              <w:t>HỘI ĐỒNG NHÂN DÂN</w:t>
            </w:r>
            <w:r>
              <w:rPr>
                <w:rFonts w:ascii="Times New Roman" w:hAnsi="Times New Roman" w:cs="Times New Roman"/>
                <w:b/>
                <w:sz w:val="28"/>
                <w:szCs w:val="28"/>
              </w:rPr>
              <w:br w:type="textWrapping"/>
            </w:r>
            <w:r>
              <w:rPr>
                <w:rFonts w:ascii="Times New Roman" w:hAnsi="Times New Roman" w:cs="Times New Roman"/>
                <w:b/>
                <w:sz w:val="28"/>
                <w:szCs w:val="28"/>
              </w:rPr>
              <w:t>PHƯỜNG DẦU GIÂY</w:t>
            </w:r>
          </w:p>
          <w:p w14:paraId="3DA53E10">
            <w:pPr>
              <w:widowControl w:val="0"/>
              <w:shd w:val="clear"/>
              <w:spacing w:after="0" w:line="240" w:lineRule="auto"/>
              <w:jc w:val="center"/>
              <w:rPr>
                <w:rFonts w:ascii="Times New Roman" w:hAnsi="Times New Roman" w:cs="Times New Roman"/>
                <w:sz w:val="28"/>
                <w:szCs w:val="28"/>
              </w:rPr>
            </w:pPr>
          </w:p>
          <w:p w14:paraId="68A4F236">
            <w:pPr>
              <w:widowControl w:val="0"/>
              <w:shd w:val="clear"/>
              <w:spacing w:after="0" w:line="240" w:lineRule="auto"/>
              <w:jc w:val="center"/>
              <w:rPr>
                <w:rFonts w:ascii="Times New Roman" w:hAnsi="Times New Roman" w:cs="Times New Roman"/>
                <w:sz w:val="28"/>
                <w:szCs w:val="28"/>
              </w:rPr>
            </w:pPr>
            <w:r>
              <w:rPr>
                <w:rFonts w:ascii="Times New Roman" w:hAnsi="Times New Roman" w:cs="Times New Roman"/>
                <w:sz w:val="28"/>
                <w:szCs w:val="28"/>
              </w:rPr>
              <w:t>Số:       / 2026 /NQ-HĐND</w:t>
            </w:r>
          </w:p>
        </w:tc>
        <w:tc>
          <w:tcPr>
            <w:tcW w:w="6096" w:type="dxa"/>
            <w:tcBorders>
              <w:top w:val="nil"/>
              <w:left w:val="nil"/>
              <w:bottom w:val="nil"/>
              <w:right w:val="nil"/>
            </w:tcBorders>
          </w:tcPr>
          <w:p w14:paraId="1AECFB74">
            <w:pPr>
              <w:widowControl w:val="0"/>
              <w:shd w:val="clea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CỘNG HÒA XÃ HỘI CHỦ NGHĨA VIỆT NAM</w:t>
            </w:r>
          </w:p>
          <w:p w14:paraId="107751F5">
            <w:pPr>
              <w:widowControl w:val="0"/>
              <w:shd w:val="clea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Độc lập - Tự do - Hạnh phúc</w:t>
            </w:r>
          </w:p>
          <w:p w14:paraId="29DE0ACE">
            <w:pPr>
              <w:widowControl w:val="0"/>
              <w:shd w:val="clea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mc:AlternateContent>
                <mc:Choice Requires="wps">
                  <w:drawing>
                    <wp:anchor distT="0" distB="0" distL="114300" distR="114300" simplePos="0" relativeHeight="251660288" behindDoc="0" locked="0" layoutInCell="1" allowOverlap="1">
                      <wp:simplePos x="0" y="0"/>
                      <wp:positionH relativeFrom="column">
                        <wp:posOffset>856615</wp:posOffset>
                      </wp:positionH>
                      <wp:positionV relativeFrom="paragraph">
                        <wp:posOffset>19685</wp:posOffset>
                      </wp:positionV>
                      <wp:extent cx="181356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813560"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y;margin-left:67.45pt;margin-top:1.55pt;height:0pt;width:142.8pt;z-index:251660288;mso-width-relative:page;mso-height-relative:page;" filled="f" stroked="t" coordsize="21600,21600" o:gfxdata="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rhLybTAAAABwEAAA8AAAAAAAAA&#10;AQAgAAAAIgAAAGRycy9kb3ducmV2LnhtbFBLAQIUABQAAAAIAIdO4kAPDwaD3QEAAMwDAAAOAAAA&#10;AAAAAAEAIAAAACIBAABkcnMvZTJvRG9jLnhtbFBLBQYAAAAABgAGAFkBAABxBQAAAAA=&#10;">
                      <v:fill on="f" focussize="0,0"/>
                      <v:stroke weight="0.5pt" color="#000000 [3200]" miterlimit="8" joinstyle="miter"/>
                      <v:imagedata o:title=""/>
                      <o:lock v:ext="edit" aspectratio="f"/>
                    </v:line>
                  </w:pict>
                </mc:Fallback>
              </mc:AlternateContent>
            </w:r>
          </w:p>
          <w:p w14:paraId="45F9B377">
            <w:pPr>
              <w:widowControl w:val="0"/>
              <w:shd w:val="clear"/>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               Dầu Giây, ngày      tháng      năm 2026</w:t>
            </w:r>
          </w:p>
        </w:tc>
      </w:tr>
    </w:tbl>
    <w:p w14:paraId="0AF9BA5D">
      <w:pPr>
        <w:shd w:val="clear"/>
        <w:spacing w:before="120" w:after="280" w:afterAutospacing="1"/>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-162560</wp:posOffset>
                </wp:positionH>
                <wp:positionV relativeFrom="paragraph">
                  <wp:posOffset>186690</wp:posOffset>
                </wp:positionV>
                <wp:extent cx="1346835" cy="285115"/>
                <wp:effectExtent l="0" t="0" r="24765" b="19685"/>
                <wp:wrapNone/>
                <wp:docPr id="1680732350" name="Text Box 2"/>
                <wp:cNvGraphicFramePr/>
                <a:graphic xmlns:a="http://schemas.openxmlformats.org/drawingml/2006/main">
                  <a:graphicData uri="http://schemas.microsoft.com/office/word/2010/wordprocessingShape">
                    <wps:wsp>
                      <wps:cNvSpPr txBox="1">
                        <a:spLocks noChangeArrowheads="1"/>
                      </wps:cNvSpPr>
                      <wps:spPr bwMode="auto">
                        <a:xfrm>
                          <a:off x="0" y="0"/>
                          <a:ext cx="1346835" cy="285115"/>
                        </a:xfrm>
                        <a:prstGeom prst="rect">
                          <a:avLst/>
                        </a:prstGeom>
                        <a:solidFill>
                          <a:srgbClr val="FFFFFF"/>
                        </a:solidFill>
                        <a:ln w="9525">
                          <a:solidFill>
                            <a:srgbClr val="000000"/>
                          </a:solidFill>
                          <a:miter lim="800000"/>
                        </a:ln>
                      </wps:spPr>
                      <wps:txbx>
                        <w:txbxContent>
                          <w:p w14:paraId="5CD6F625">
                            <w:pPr>
                              <w:jc w:val="center"/>
                              <w:rPr>
                                <w:rFonts w:ascii="Times New Roman" w:hAnsi="Times New Roman" w:cs="Times New Roman"/>
                                <w:b/>
                                <w:bCs/>
                                <w:sz w:val="28"/>
                                <w:szCs w:val="28"/>
                              </w:rPr>
                            </w:pPr>
                            <w:r>
                              <w:rPr>
                                <w:rFonts w:ascii="Times New Roman" w:hAnsi="Times New Roman" w:cs="Times New Roman"/>
                                <w:b/>
                                <w:bCs/>
                                <w:sz w:val="28"/>
                                <w:szCs w:val="28"/>
                              </w:rPr>
                              <w:t>DỰ THẢO</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2.8pt;margin-top:14.7pt;height:22.45pt;width:106.05pt;z-index:251659264;mso-width-relative:page;mso-height-relative:page;" fillcolor="#FFFFFF" filled="t" stroked="t" coordsize="21600,21600" o:gfxdata="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Ta0BGtoAAAAJAQAADwAAAAAAAAABACAAAAAiAAAAZHJzL2Rv&#10;d25yZXYueG1sUEsBAhQAFAAAAAgAh07iQDPw/ds4AgAAjwQAAA4AAAAAAAAAAQAgAAAAKQEAAGRy&#10;cy9lMm9Eb2MueG1sUEsFBgAAAAAGAAYAWQEAANMFAAAAAA==&#10;">
                <v:fill on="t" focussize="0,0"/>
                <v:stroke color="#000000" miterlimit="8" joinstyle="miter"/>
                <v:imagedata o:title=""/>
                <o:lock v:ext="edit" aspectratio="f"/>
                <v:textbox>
                  <w:txbxContent>
                    <w:p w14:paraId="5CD6F625">
                      <w:pPr>
                        <w:jc w:val="center"/>
                        <w:rPr>
                          <w:rFonts w:ascii="Times New Roman" w:hAnsi="Times New Roman" w:cs="Times New Roman"/>
                          <w:b/>
                          <w:bCs/>
                          <w:sz w:val="28"/>
                          <w:szCs w:val="28"/>
                        </w:rPr>
                      </w:pPr>
                      <w:r>
                        <w:rPr>
                          <w:rFonts w:ascii="Times New Roman" w:hAnsi="Times New Roman" w:cs="Times New Roman"/>
                          <w:b/>
                          <w:bCs/>
                          <w:sz w:val="28"/>
                          <w:szCs w:val="28"/>
                        </w:rPr>
                        <w:t>DỰ THẢO</w:t>
                      </w:r>
                    </w:p>
                  </w:txbxContent>
                </v:textbox>
              </v:shape>
            </w:pict>
          </mc:Fallback>
        </mc:AlternateContent>
      </w:r>
    </w:p>
    <w:p w14:paraId="296F344A">
      <w:pPr>
        <w:shd w:val="clear"/>
        <w:spacing w:after="0" w:line="240" w:lineRule="auto"/>
        <w:ind w:firstLine="720"/>
        <w:jc w:val="center"/>
        <w:rPr>
          <w:rFonts w:ascii="Times New Roman" w:hAnsi="Times New Roman" w:cs="Times New Roman"/>
          <w:color w:val="000000" w:themeColor="text1"/>
          <w:sz w:val="28"/>
          <w:szCs w:val="28"/>
          <w14:textFill>
            <w14:solidFill>
              <w14:schemeClr w14:val="tx1"/>
            </w14:solidFill>
          </w14:textFill>
        </w:rPr>
      </w:pPr>
      <w:bookmarkStart w:id="0" w:name="loai_1"/>
      <w:r>
        <w:rPr>
          <w:rFonts w:ascii="Times New Roman" w:hAnsi="Times New Roman" w:cs="Times New Roman"/>
          <w:b/>
          <w:bCs/>
          <w:color w:val="000000" w:themeColor="text1"/>
          <w:sz w:val="28"/>
          <w:szCs w:val="28"/>
          <w14:textFill>
            <w14:solidFill>
              <w14:schemeClr w14:val="tx1"/>
            </w14:solidFill>
          </w14:textFill>
        </w:rPr>
        <w:t>NGHỊ QUYẾT</w:t>
      </w:r>
      <w:bookmarkEnd w:id="0"/>
    </w:p>
    <w:p w14:paraId="0565CF36">
      <w:pPr>
        <w:shd w:val="clear"/>
        <w:spacing w:after="0" w:line="240" w:lineRule="auto"/>
        <w:ind w:firstLine="720"/>
        <w:jc w:val="center"/>
        <w:rPr>
          <w:rFonts w:ascii="Times New Roman" w:hAnsi="Times New Roman" w:cs="Times New Roman"/>
          <w:color w:val="000000" w:themeColor="text1"/>
          <w:sz w:val="28"/>
          <w:szCs w:val="28"/>
          <w14:textFill>
            <w14:solidFill>
              <w14:schemeClr w14:val="tx1"/>
            </w14:solidFill>
          </w14:textFill>
        </w:rPr>
      </w:pPr>
      <w:bookmarkStart w:id="1" w:name="loai_1_name"/>
      <w:r>
        <w:rPr>
          <w:rFonts w:ascii="Times New Roman" w:hAnsi="Times New Roman" w:cs="Times New Roman"/>
          <w:color w:val="000000" w:themeColor="text1"/>
          <w:sz w:val="28"/>
          <w:szCs w:val="28"/>
          <w14:textFill>
            <w14:solidFill>
              <w14:schemeClr w14:val="tx1"/>
            </w14:solidFill>
          </w14:textFill>
        </w:rPr>
        <w:t xml:space="preserve">Quyết định các biện pháp đảm bảo thực hiện dân chủ cơ sở </w:t>
      </w:r>
    </w:p>
    <w:p w14:paraId="68B3B933">
      <w:pPr>
        <w:shd w:val="clear"/>
        <w:spacing w:after="0" w:line="240" w:lineRule="auto"/>
        <w:ind w:firstLine="72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trên địa bàn phường Dầu Giây</w:t>
      </w:r>
    </w:p>
    <w:p w14:paraId="665EB157">
      <w:pPr>
        <w:shd w:val="clear"/>
        <w:spacing w:after="0" w:line="240" w:lineRule="auto"/>
        <w:ind w:firstLine="720"/>
        <w:jc w:val="center"/>
        <w:rPr>
          <w:rFonts w:hint="default" w:ascii="Times New Roman" w:hAnsi="Times New Roman" w:cs="Times New Roman"/>
          <w:color w:val="000000" w:themeColor="text1"/>
          <w:sz w:val="28"/>
          <w:szCs w:val="28"/>
          <w14:textFill>
            <w14:solidFill>
              <w14:schemeClr w14:val="tx1"/>
            </w14:solidFill>
          </w14:textFill>
        </w:rPr>
      </w:pPr>
    </w:p>
    <w:bookmarkEnd w:id="1"/>
    <w:p w14:paraId="6AE174E6">
      <w:pPr>
        <w:jc w:val="center"/>
        <w:rPr>
          <w:rFonts w:hint="default" w:ascii="Times New Roman" w:hAnsi="Times New Roman" w:cs="Times New Roman"/>
          <w:b/>
          <w:bCs/>
        </w:rPr>
      </w:pPr>
      <w:r>
        <w:rPr>
          <w:rFonts w:hint="default" w:ascii="Times New Roman" w:hAnsi="Times New Roman" w:cs="Times New Roman"/>
          <w:b/>
          <w:bCs/>
        </w:rPr>
        <w:t>HỘI ĐỒNG NHÂN DÂN KHÓA I, KỲ HỌP THỨ …..</w:t>
      </w:r>
    </w:p>
    <w:p w14:paraId="664E8B45">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Căn cứ Luật Tổ chức chính quyền địa phương số 72/2025/QH15;</w:t>
      </w:r>
    </w:p>
    <w:p w14:paraId="6DC8F21E">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Căn cứ Luật Thực hiện dân chủ ở cơ sở số 10/2022/QH15 được sửa đổi, bổ sung bởi Luật số 97/2025/QH15;</w:t>
      </w:r>
    </w:p>
    <w:p w14:paraId="48E183DA">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Căn cứ Luật Ban hành văn bản Quy phạm pháp luật số 64/2025/QH15 được sửa đổi. bổ sung bởi Luật số 87/2025/QH15;</w:t>
      </w:r>
      <w:bookmarkStart w:id="3" w:name="_GoBack"/>
      <w:bookmarkEnd w:id="3"/>
    </w:p>
    <w:p w14:paraId="6AF7E762">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Căn cứ Nghị định số 59/2023/NĐ-CP của</w:t>
      </w:r>
      <w:r>
        <w:rPr>
          <w:rFonts w:ascii="Times New Roman" w:hAnsi="Times New Roman" w:cs="Times New Roman"/>
          <w:i/>
          <w:iCs/>
          <w:color w:val="000000" w:themeColor="text1"/>
          <w:sz w:val="28"/>
          <w:szCs w:val="28"/>
          <w14:textFill>
            <w14:solidFill>
              <w14:schemeClr w14:val="tx1"/>
            </w14:solidFill>
          </w14:textFill>
        </w:rPr>
        <w:t xml:space="preserve"> Chính phủ quy định chi tiết một số điều của Luật Thực hiện dân chủ ở cơ sở;</w:t>
      </w:r>
    </w:p>
    <w:p w14:paraId="22B5272A">
      <w:pPr>
        <w:shd w:val="clear"/>
        <w:spacing w:before="120" w:after="120" w:line="276" w:lineRule="auto"/>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Căn cứ Nghị định số 78/2025/NĐ-CP của Chính phủ quy định chi tiết một số điều và biện pháp để tổ chức, hướng dẫn thi hành </w:t>
      </w:r>
      <w:bookmarkStart w:id="2" w:name="tvpllink_wmctndtokn_1"/>
      <w:r>
        <w:rPr>
          <w:rFonts w:ascii="Times New Roman" w:hAnsi="Times New Roman" w:cs="Times New Roman"/>
          <w:i/>
          <w:iCs/>
          <w:color w:val="000000" w:themeColor="text1"/>
          <w:sz w:val="28"/>
          <w:szCs w:val="28"/>
          <w14:textFill>
            <w14:solidFill>
              <w14:schemeClr w14:val="tx1"/>
            </w14:solidFill>
          </w14:textFill>
        </w:rPr>
        <w:fldChar w:fldCharType="begin"/>
      </w:r>
      <w:r>
        <w:rPr>
          <w:rFonts w:ascii="Times New Roman" w:hAnsi="Times New Roman" w:cs="Times New Roman"/>
          <w:i/>
          <w:iCs/>
          <w:color w:val="000000" w:themeColor="text1"/>
          <w:sz w:val="28"/>
          <w:szCs w:val="28"/>
          <w14:textFill>
            <w14:solidFill>
              <w14:schemeClr w14:val="tx1"/>
            </w14:solidFill>
          </w14:textFill>
        </w:rPr>
        <w:instrText xml:space="preserve"> HYPERLINK "https://thuvienphapluat.vn/van-ban/Bo-may-hanh-chinh/Luat-ban-hanh-van-ban-quy-pham-phap-luat-2025-so-64-2025-QH15-639239.aspx" \t "_blank" </w:instrText>
      </w:r>
      <w:r>
        <w:rPr>
          <w:rFonts w:ascii="Times New Roman" w:hAnsi="Times New Roman" w:cs="Times New Roman"/>
          <w:i/>
          <w:iCs/>
          <w:color w:val="000000" w:themeColor="text1"/>
          <w:sz w:val="28"/>
          <w:szCs w:val="28"/>
          <w14:textFill>
            <w14:solidFill>
              <w14:schemeClr w14:val="tx1"/>
            </w14:solidFill>
          </w14:textFill>
        </w:rPr>
        <w:fldChar w:fldCharType="separate"/>
      </w:r>
      <w:r>
        <w:rPr>
          <w:rFonts w:ascii="Times New Roman" w:hAnsi="Times New Roman" w:cs="Times New Roman"/>
          <w:i/>
          <w:iCs/>
          <w:color w:val="000000" w:themeColor="text1"/>
          <w:sz w:val="28"/>
          <w:szCs w:val="28"/>
          <w14:textFill>
            <w14:solidFill>
              <w14:schemeClr w14:val="tx1"/>
            </w14:solidFill>
          </w14:textFill>
        </w:rPr>
        <w:t>Luật Ban hành văn bản quy phạm pháp luật</w:t>
      </w:r>
      <w:r>
        <w:rPr>
          <w:rFonts w:ascii="Times New Roman" w:hAnsi="Times New Roman" w:cs="Times New Roman"/>
          <w:i/>
          <w:iCs/>
          <w:color w:val="000000" w:themeColor="text1"/>
          <w:sz w:val="28"/>
          <w:szCs w:val="28"/>
          <w14:textFill>
            <w14:solidFill>
              <w14:schemeClr w14:val="tx1"/>
            </w14:solidFill>
          </w14:textFill>
        </w:rPr>
        <w:fldChar w:fldCharType="end"/>
      </w:r>
      <w:bookmarkEnd w:id="2"/>
      <w:r>
        <w:rPr>
          <w:rFonts w:ascii="Times New Roman" w:hAnsi="Times New Roman" w:cs="Times New Roman"/>
          <w:i/>
          <w:iCs/>
          <w:color w:val="000000" w:themeColor="text1"/>
          <w:sz w:val="28"/>
          <w:szCs w:val="28"/>
          <w14:textFill>
            <w14:solidFill>
              <w14:schemeClr w14:val="tx1"/>
            </w14:solidFill>
          </w14:textFill>
        </w:rPr>
        <w:t xml:space="preserve"> được sửa đổi, bổ sung bởi Nghị định số 187/2025/NĐ-CP;</w:t>
      </w:r>
    </w:p>
    <w:p w14:paraId="6B4CA39D">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 xml:space="preserve">Xét Tờ trình số       /TTr-UBND ngày    tháng    năm 2026 của Ủy ban nhân dân phường Dầu Giây về việc ban hành Nghị quyết về các biện pháp bảo đảm thực hiện dân chủ ở cơ sở trên địa bàn phường Dầu Giây; Báo cáo thẩm tra số     </w:t>
      </w:r>
      <w:r>
        <w:rPr>
          <w:rFonts w:hint="default" w:ascii="Times New Roman" w:hAnsi="Times New Roman" w:cs="Times New Roman"/>
          <w:i/>
          <w:iCs/>
          <w:color w:val="000000" w:themeColor="text1"/>
          <w:sz w:val="28"/>
          <w:szCs w:val="28"/>
          <w:lang w:val="en-US"/>
          <w14:textFill>
            <w14:solidFill>
              <w14:schemeClr w14:val="tx1"/>
            </w14:solidFill>
          </w14:textFill>
        </w:rPr>
        <w:t xml:space="preserve">  </w:t>
      </w:r>
      <w:r>
        <w:rPr>
          <w:rFonts w:ascii="Times New Roman" w:hAnsi="Times New Roman" w:cs="Times New Roman"/>
          <w:i/>
          <w:iCs/>
          <w:color w:val="000000" w:themeColor="text1"/>
          <w:sz w:val="28"/>
          <w:szCs w:val="28"/>
          <w14:textFill>
            <w14:solidFill>
              <w14:schemeClr w14:val="tx1"/>
            </w14:solidFill>
          </w14:textFill>
        </w:rPr>
        <w:t>/BC-HĐND ngày       tháng      năm 2026 của Ban Văn hóa – Xã hội Hội đồng nhân dân phường;</w:t>
      </w:r>
    </w:p>
    <w:p w14:paraId="4822131C">
      <w:pPr>
        <w:shd w:val="clear"/>
        <w:spacing w:before="60" w:after="60"/>
        <w:ind w:firstLine="720"/>
        <w:jc w:val="both"/>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Hội đồng nhân dân ban hành Nghị quyết quyết định các biện pháp bảo đảm thực hiện dân chủ cơ sở trên địa bàn phường Dầu Giây.</w:t>
      </w:r>
    </w:p>
    <w:p w14:paraId="5E43F2C9">
      <w:pPr>
        <w:shd w:val="clear"/>
        <w:spacing w:before="60" w:after="60"/>
        <w:ind w:firstLine="720"/>
        <w:jc w:val="center"/>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QUYẾT NGHỊ:</w:t>
      </w:r>
    </w:p>
    <w:p w14:paraId="6FC5EC26">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Điều 1. Phạm vi điều chỉnh và đối tượng áp dụng</w:t>
      </w:r>
    </w:p>
    <w:p w14:paraId="1701538F">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1. Phạm vi điều chỉnh</w:t>
      </w:r>
    </w:p>
    <w:p w14:paraId="28EF6234">
      <w:pPr>
        <w:shd w:val="clear"/>
        <w:ind w:firstLine="709"/>
        <w:jc w:val="both"/>
        <w:rPr>
          <w:rFonts w:ascii="Times New Roman" w:hAnsi="Times New Roman" w:cs="Times New Roman"/>
          <w:sz w:val="28"/>
          <w:szCs w:val="28"/>
        </w:rPr>
      </w:pPr>
      <w:r>
        <w:rPr>
          <w:rFonts w:ascii="Times New Roman" w:hAnsi="Times New Roman" w:cs="Times New Roman"/>
          <w:sz w:val="28"/>
          <w:szCs w:val="28"/>
        </w:rPr>
        <w:t>Nghị quyết này quy định các biện pháp bảo đảm thực hiện dân chủ ở cơ sở trên địa bàn phường Dầu Giây theo quy định của Luật Thực hiện dân chủ ở cơ sở, nhằm nâng cao hiệu lực, hiệu quả quản lý nhà nước, phát huy quyền làm chủ của Nhân dân, tăng cường công khai, minh bạch, trách nhiệm giải trình của cơ quan, đơn vị, tổ chức và cá nhân trong quá trình tổ chức thực hiện nhiệm vụ, quyền hạn theo quy định của pháp luật.</w:t>
      </w:r>
    </w:p>
    <w:p w14:paraId="029722C9">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2. Đối tượng áp dụng</w:t>
      </w:r>
    </w:p>
    <w:p w14:paraId="7B1E2DD7">
      <w:pPr>
        <w:shd w:val="clear"/>
        <w:ind w:firstLine="709"/>
        <w:jc w:val="both"/>
        <w:rPr>
          <w:rFonts w:ascii="Times New Roman" w:hAnsi="Times New Roman" w:cs="Times New Roman"/>
          <w:sz w:val="28"/>
          <w:szCs w:val="28"/>
        </w:rPr>
      </w:pPr>
      <w:r>
        <w:rPr>
          <w:rFonts w:ascii="Times New Roman" w:hAnsi="Times New Roman" w:cs="Times New Roman"/>
          <w:sz w:val="28"/>
          <w:szCs w:val="28"/>
        </w:rPr>
        <w:t>Nghị quyết này áp dụng đối với cơ quan nhà nước, đơn vị sự nghiệp công lập, tổ chức có sử dụng lao động và các cơ quan, tổ chức, đơn vị, cá nhân có liên quan đến việc thực hiện dân chủ ở cơ sở trên địa bàn phường Dầu Giây.</w:t>
      </w:r>
    </w:p>
    <w:p w14:paraId="0F2D7A3E">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Điều 2. Nguyên tắc bảo đảm thực hiện dân chủ ở cơ sở</w:t>
      </w:r>
    </w:p>
    <w:p w14:paraId="15246934">
      <w:pPr>
        <w:shd w:val="clear"/>
        <w:ind w:firstLine="709"/>
        <w:jc w:val="both"/>
      </w:pPr>
      <w:r>
        <w:rPr>
          <w:rFonts w:ascii="Times New Roman" w:hAnsi="Times New Roman" w:cs="Times New Roman"/>
          <w:sz w:val="28"/>
          <w:szCs w:val="28"/>
        </w:rPr>
        <w:t>1. Bảo đảm quyền của công dân, cán bộ, công chức, viên chức, người lao động được biết, được tham gia ý kiến, được quyết định, được kiểm tra, giám sát và thụ hưởng kết quả thực hiện dân chủ cơ sở theo quy định của phát luật.</w:t>
      </w:r>
    </w:p>
    <w:p w14:paraId="31CC16DD">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2. Việc thực hiện dân chủ ở cơ sở phải bảo đảm sự lãnh đạo của Đảng, sự quản lý thống nhất của Nhà nước; trong khuôn khổ của Hiến pháp và pháp luật. Phát huy vai trò của Mặt trận Tổ quốc Việt Nam và các tổ chức chính trị - xã hội; bảo đảm quyền làm chủ của Nhân dân gắn với tăng cường kỷ luật, kỷ cương hành chính và trách nhiệm của người đứng đầu cơ quan, đơn vị. </w:t>
      </w:r>
    </w:p>
    <w:p w14:paraId="17E84B4E">
      <w:pPr>
        <w:shd w:val="clear"/>
        <w:ind w:firstLine="709"/>
        <w:jc w:val="both"/>
        <w:rPr>
          <w:rFonts w:ascii="Times New Roman" w:hAnsi="Times New Roman" w:cs="Times New Roman"/>
          <w:sz w:val="28"/>
          <w:szCs w:val="28"/>
        </w:rPr>
      </w:pPr>
      <w:r>
        <w:rPr>
          <w:rFonts w:ascii="Times New Roman" w:hAnsi="Times New Roman" w:cs="Times New Roman"/>
          <w:sz w:val="28"/>
          <w:szCs w:val="28"/>
          <w:lang w:val="nl-NL"/>
        </w:rPr>
        <w:t>3. Bảo vệ lợi ích của Nhà nước, quyền và lợi ích hợp pháp của tổ chức, cá nhân.  Bảo đảm công khai, minh bạch, tăng cường trách nhiệm giải trình trong quá trình thực hiện dân chủ ở cơ sở.</w:t>
      </w:r>
    </w:p>
    <w:p w14:paraId="459DBA44">
      <w:pPr>
        <w:shd w:val="clear"/>
        <w:ind w:firstLine="709"/>
        <w:jc w:val="both"/>
        <w:rPr>
          <w:rFonts w:ascii="Times New Roman" w:hAnsi="Times New Roman" w:cs="Times New Roman"/>
          <w:sz w:val="28"/>
          <w:szCs w:val="28"/>
        </w:rPr>
      </w:pPr>
      <w:r>
        <w:rPr>
          <w:rFonts w:ascii="Times New Roman" w:hAnsi="Times New Roman" w:cs="Times New Roman"/>
          <w:sz w:val="28"/>
          <w:szCs w:val="28"/>
          <w:lang w:val="nl-NL"/>
        </w:rPr>
        <w:t>4. Tôn trọng ý kiến đóng góp của Nhân dân, kịp thời giải quyết kiến nghị, phản ánh của Nhân dân.</w:t>
      </w:r>
    </w:p>
    <w:p w14:paraId="30D95F38">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5. Việc tổ chức thực hiện các biện pháp bảo đảm dân chủ ở cơ sở phải phù hợp với điều kiện thực tiễn của phường Dầu Giây, bảo đảm tính khả thi, hiệu quả, tiết kiệm, tránh hình thức và không làm phát sinh thủ tục hành chính trái quy định của pháp luật. </w:t>
      </w:r>
    </w:p>
    <w:p w14:paraId="39772E38">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Điều 3. Các biện pháp bảo đảm thực hiện dân chủ ở cơ sở</w:t>
      </w:r>
    </w:p>
    <w:p w14:paraId="2C34EBA4">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1. Nâng cao chất lượng đội ngũ cán bộ, công chức, viên chức trong tổ chức thực hiện dân chủ ở cơ sở</w:t>
      </w:r>
    </w:p>
    <w:p w14:paraId="0540CF7E">
      <w:pPr>
        <w:shd w:val="clear"/>
        <w:ind w:firstLine="709"/>
        <w:jc w:val="both"/>
        <w:rPr>
          <w:rFonts w:ascii="Times New Roman" w:hAnsi="Times New Roman" w:cs="Times New Roman"/>
          <w:sz w:val="28"/>
          <w:szCs w:val="28"/>
        </w:rPr>
      </w:pPr>
      <w:r>
        <w:rPr>
          <w:rFonts w:ascii="Times New Roman" w:hAnsi="Times New Roman" w:cs="Times New Roman"/>
          <w:sz w:val="28"/>
          <w:szCs w:val="28"/>
        </w:rPr>
        <w:t>a) Tổ chức tập huấn, bồi dưỡng nâng cao trình độ chuyên môn, nghiệp vụ, kỹ năng thực thi công vụ, kỹ năng đối thoại, tiếp nhận và giải quyết ý kiến, kiến nghị của Nhân dân; tăng cường ứng dụng công nghệ thông tin và chuyển đổi số trong thực hiện dân chủ ở cơ sở.</w:t>
      </w:r>
    </w:p>
    <w:p w14:paraId="2264D13E">
      <w:pPr>
        <w:shd w:val="clear"/>
        <w:ind w:firstLine="709"/>
        <w:jc w:val="both"/>
        <w:rPr>
          <w:rFonts w:ascii="Times New Roman" w:hAnsi="Times New Roman" w:cs="Times New Roman"/>
          <w:sz w:val="28"/>
          <w:szCs w:val="28"/>
        </w:rPr>
      </w:pPr>
      <w:r>
        <w:rPr>
          <w:rFonts w:ascii="Times New Roman" w:hAnsi="Times New Roman" w:cs="Times New Roman"/>
          <w:sz w:val="28"/>
          <w:szCs w:val="28"/>
        </w:rPr>
        <w:t>b) Thường xuyên rà soát, nâng cao trách nhiệm, đạo đức công vụ, ý thức phục vụ Nhân dân của đội ngũ cán bộ, công chức, viên chức; kịp thời chấn chỉnh những biểu hiện né tránh, đùn đẩy trách nhiệm, gây phiền hà trong giải quyết công việc của tổ chức, cá nhân.</w:t>
      </w:r>
    </w:p>
    <w:p w14:paraId="10BC0168">
      <w:pPr>
        <w:shd w:val="clear"/>
        <w:ind w:firstLine="709"/>
        <w:jc w:val="both"/>
        <w:rPr>
          <w:rFonts w:ascii="Times New Roman" w:hAnsi="Times New Roman" w:cs="Times New Roman"/>
          <w:sz w:val="28"/>
          <w:szCs w:val="28"/>
        </w:rPr>
      </w:pPr>
      <w:r>
        <w:rPr>
          <w:rFonts w:ascii="Times New Roman" w:hAnsi="Times New Roman" w:cs="Times New Roman"/>
          <w:sz w:val="28"/>
          <w:szCs w:val="28"/>
        </w:rPr>
        <w:t>c) Tăng cường kiểm tra công vụ; kịp thời xử lý hoặc kiến nghị xử lý đối với tập thể, cá nhân vi phạm quy định về thực hiện dân chủ ở cơ sở theo quy định của pháp luật.</w:t>
      </w:r>
    </w:p>
    <w:p w14:paraId="571CBD2E">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2. Đổi mới công tác thông tin, tuyên truyền, phổ biến pháp luật về thực hiện dân chủ ở cơ sở</w:t>
      </w:r>
    </w:p>
    <w:p w14:paraId="04927F3B">
      <w:pPr>
        <w:shd w:val="clear"/>
        <w:ind w:firstLine="709"/>
        <w:jc w:val="both"/>
        <w:rPr>
          <w:rFonts w:ascii="Times New Roman" w:hAnsi="Times New Roman" w:cs="Times New Roman"/>
          <w:sz w:val="28"/>
          <w:szCs w:val="28"/>
        </w:rPr>
      </w:pPr>
      <w:r>
        <w:rPr>
          <w:rFonts w:ascii="Times New Roman" w:hAnsi="Times New Roman" w:cs="Times New Roman"/>
          <w:sz w:val="28"/>
          <w:szCs w:val="28"/>
        </w:rPr>
        <w:t>a) Đẩy mạnh công tác thông tin, tuyên truyền, phổ biến các quy định của pháp luật về thực hiện dân chủ ở cơ sở bằng nhiều hình thức phù hợp với từng địa bàn, từng nhóm đối tượng; bảo đảm Nhân dân được tiếp cận đầy đủ, kịp thời các thông tin theo quy định.</w:t>
      </w:r>
    </w:p>
    <w:p w14:paraId="0327B508">
      <w:pPr>
        <w:shd w:val="clear"/>
        <w:ind w:firstLine="709"/>
        <w:jc w:val="both"/>
        <w:rPr>
          <w:rFonts w:ascii="Times New Roman" w:hAnsi="Times New Roman" w:cs="Times New Roman"/>
          <w:sz w:val="28"/>
          <w:szCs w:val="28"/>
        </w:rPr>
      </w:pPr>
      <w:r>
        <w:rPr>
          <w:rFonts w:ascii="Times New Roman" w:hAnsi="Times New Roman" w:cs="Times New Roman"/>
          <w:sz w:val="28"/>
          <w:szCs w:val="28"/>
        </w:rPr>
        <w:t>b) Phát huy hiệu quả hoạt động của hệ thống thông tin cơ sở, Cổng thông tin điện tử, Trang thông tin điện tử và các nền tảng số hợp pháp trong công khai thông tin, tiếp nhận và phản hồi ý kiến của Nhân dân.</w:t>
      </w:r>
    </w:p>
    <w:p w14:paraId="2558A908">
      <w:pPr>
        <w:shd w:val="clear"/>
        <w:ind w:firstLine="709"/>
        <w:jc w:val="both"/>
        <w:rPr>
          <w:rFonts w:ascii="Times New Roman" w:hAnsi="Times New Roman" w:cs="Times New Roman"/>
          <w:sz w:val="28"/>
          <w:szCs w:val="28"/>
        </w:rPr>
      </w:pPr>
      <w:r>
        <w:rPr>
          <w:rFonts w:ascii="Times New Roman" w:hAnsi="Times New Roman" w:cs="Times New Roman"/>
          <w:sz w:val="28"/>
          <w:szCs w:val="28"/>
        </w:rPr>
        <w:t>c) Củng cố, nâng cao chất lượng đội ngũ tuyên truyền viên, hòa giải viên ở cơ sở; phát huy vai trò của người có uy tín trong cộng đồng dân cư trong tuyên truyền, vận động Nhân dân thực hiện dân chủ ở cơ sở.</w:t>
      </w:r>
    </w:p>
    <w:p w14:paraId="622E836A">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3. Nâng cao trách nhiệm của cơ quan, đơn vị và phát huy vai trò giám sát của Nhân dân</w:t>
      </w:r>
    </w:p>
    <w:p w14:paraId="2D746D46">
      <w:pPr>
        <w:shd w:val="clear"/>
        <w:ind w:firstLine="709"/>
        <w:jc w:val="both"/>
        <w:rPr>
          <w:rFonts w:ascii="Times New Roman" w:hAnsi="Times New Roman" w:cs="Times New Roman"/>
          <w:sz w:val="28"/>
          <w:szCs w:val="28"/>
        </w:rPr>
      </w:pPr>
      <w:r>
        <w:rPr>
          <w:rFonts w:ascii="Times New Roman" w:hAnsi="Times New Roman" w:cs="Times New Roman"/>
          <w:sz w:val="28"/>
          <w:szCs w:val="28"/>
        </w:rPr>
        <w:t>a) Người đứng đầu cơ quan, đơn vị chịu trách nhiệm trực tiếp trong việc tổ chức thực hiện dân chủ ở cơ sở; bảo đảm công khai, minh bạch, trách nhiệm giải trình và lấy kết quả thực hiện dân chủ ở cơ sở làm một trong những tiêu chí đánh giá mức độ hoàn thành nhiệm vụ hằng năm.</w:t>
      </w:r>
    </w:p>
    <w:p w14:paraId="5F44D0EC">
      <w:pPr>
        <w:shd w:val="clear"/>
        <w:ind w:firstLine="709"/>
        <w:jc w:val="both"/>
        <w:rPr>
          <w:rFonts w:ascii="Times New Roman" w:hAnsi="Times New Roman" w:cs="Times New Roman"/>
          <w:sz w:val="28"/>
          <w:szCs w:val="28"/>
        </w:rPr>
      </w:pPr>
      <w:r>
        <w:rPr>
          <w:rFonts w:ascii="Times New Roman" w:hAnsi="Times New Roman" w:cs="Times New Roman"/>
          <w:sz w:val="28"/>
          <w:szCs w:val="28"/>
        </w:rPr>
        <w:t>b) Thực hiện nghiêm việc công khai thông tin, đối thoại với Nhân dân, tiếp công dân, giải quyết khiếu nại, tố cáo, kiến nghị, phản ánh; kịp thời giải quyết những vấn đề phát sinh từ cơ sở, không để tồn đọng kéo dài.</w:t>
      </w:r>
    </w:p>
    <w:p w14:paraId="6E0FCA7E">
      <w:pPr>
        <w:shd w:val="clear"/>
        <w:ind w:firstLine="709"/>
        <w:jc w:val="both"/>
        <w:rPr>
          <w:rFonts w:ascii="Times New Roman" w:hAnsi="Times New Roman" w:cs="Times New Roman"/>
          <w:sz w:val="28"/>
          <w:szCs w:val="28"/>
        </w:rPr>
      </w:pPr>
      <w:r>
        <w:rPr>
          <w:rFonts w:ascii="Times New Roman" w:hAnsi="Times New Roman" w:cs="Times New Roman"/>
          <w:sz w:val="28"/>
          <w:szCs w:val="28"/>
        </w:rPr>
        <w:t>c) Phát huy vai trò của Ủy ban Mặt trận Tổ quốc Việt Nam phường, các tổ chức chính trị - xã hội, Ban Công tác Mặt trận, các tổ chức tự quản ở khu dân cư trong tuyên truyền, vận động, giám sát, phản biện xã hội và tổng hợp ý kiến, kiến nghị của Nhân dân theo quy định của pháp luật. Phát huy hiệu quả hoạt động của Ban thanh tra nhân nhân, Ban giám sát đầu tư cộng đồng trong việc kiểm tra, giám sát các công trình, dự án đầu tư công</w:t>
      </w:r>
    </w:p>
    <w:p w14:paraId="78F6E819">
      <w:pPr>
        <w:shd w:val="clear"/>
        <w:ind w:firstLine="709"/>
        <w:jc w:val="both"/>
        <w:rPr>
          <w:rFonts w:ascii="Times New Roman" w:hAnsi="Times New Roman" w:cs="Times New Roman"/>
          <w:sz w:val="28"/>
          <w:szCs w:val="28"/>
        </w:rPr>
      </w:pPr>
      <w:r>
        <w:rPr>
          <w:rFonts w:ascii="Times New Roman" w:hAnsi="Times New Roman" w:cs="Times New Roman"/>
          <w:sz w:val="28"/>
          <w:szCs w:val="28"/>
        </w:rPr>
        <w:t>d) Khuyến khích Nhân dân tích cực tham gia góp ý, giám sát việc thực hiện nhiệm vụ của cơ quan, đơn vị, cán bộ, công chức thông qua các hình thức theo quy định của pháp luật; kịp thời tiếp nhận, xử lý và phản hồi ý kiến của Nhân dân.</w:t>
      </w:r>
    </w:p>
    <w:p w14:paraId="7EE20E52">
      <w:pPr>
        <w:shd w:val="clear"/>
        <w:ind w:firstLine="709"/>
        <w:jc w:val="both"/>
        <w:rPr>
          <w:rFonts w:ascii="Times New Roman" w:hAnsi="Times New Roman" w:cs="Times New Roman"/>
          <w:sz w:val="28"/>
          <w:szCs w:val="28"/>
        </w:rPr>
      </w:pPr>
      <w:r>
        <w:rPr>
          <w:rFonts w:ascii="Times New Roman" w:hAnsi="Times New Roman" w:cs="Times New Roman"/>
          <w:sz w:val="28"/>
          <w:szCs w:val="28"/>
        </w:rPr>
        <w:t>đ) Định kỳ hằng năm, người dứng đầu cơ quan, đơn vị,  Ủy ban nhân dân phường tổ chức hội nghị đối thoại trực tiếp với nhân dân tại các khu phố để lắng nghe, tiếp thu và giải quyết kịp thời các kiến nghị chính đáng của cử tri</w:t>
      </w:r>
    </w:p>
    <w:p w14:paraId="492C7BF0">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4. Đẩy mạnh chuyển đổi số phục vụ thực hiện dân chủ ở cơ sở</w:t>
      </w:r>
    </w:p>
    <w:p w14:paraId="4A9B7769">
      <w:pPr>
        <w:shd w:val="clear"/>
        <w:ind w:firstLine="709"/>
        <w:jc w:val="both"/>
        <w:rPr>
          <w:rFonts w:ascii="Times New Roman" w:hAnsi="Times New Roman" w:cs="Times New Roman"/>
          <w:sz w:val="28"/>
          <w:szCs w:val="28"/>
        </w:rPr>
      </w:pPr>
      <w:r>
        <w:rPr>
          <w:rFonts w:ascii="Times New Roman" w:hAnsi="Times New Roman" w:cs="Times New Roman"/>
          <w:sz w:val="28"/>
          <w:szCs w:val="28"/>
        </w:rPr>
        <w:t>a) Tăng cường ứng dụng công nghệ thông tin, chuyển đổi số trong quản lý, điều hành, công khai thông tin và cung cấp dịch vụ công; từng bước mở rộng các hình thức để Nhân dân tham gia góp ý, phản ánh, giám sát thông qua môi trường điện tử theo quy định.</w:t>
      </w:r>
    </w:p>
    <w:p w14:paraId="4940CD16">
      <w:pPr>
        <w:shd w:val="clear"/>
        <w:ind w:firstLine="709"/>
        <w:jc w:val="both"/>
        <w:rPr>
          <w:rFonts w:ascii="Times New Roman" w:hAnsi="Times New Roman" w:cs="Times New Roman"/>
          <w:sz w:val="28"/>
          <w:szCs w:val="28"/>
        </w:rPr>
      </w:pPr>
      <w:r>
        <w:rPr>
          <w:rFonts w:ascii="Times New Roman" w:hAnsi="Times New Roman" w:cs="Times New Roman"/>
          <w:sz w:val="28"/>
          <w:szCs w:val="28"/>
        </w:rPr>
        <w:t>b) Nâng cao chất lượng hạ tầng công nghệ thông tin và năng lực số của đội ngũ cán bộ, công chức; khuyến khích khai thác hiệu quả các nền tảng số phục vụ công tác quản lý, điều hành và thực hiện dân chủ ở cơ sở.</w:t>
      </w:r>
    </w:p>
    <w:p w14:paraId="25B92C6C">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5. Tăng cường kiểm tra, giám sát, biểu dương, khen thưởng và xử lý vi phạm</w:t>
      </w:r>
    </w:p>
    <w:p w14:paraId="4BE9E5FA">
      <w:pPr>
        <w:shd w:val="clear"/>
        <w:ind w:firstLine="709"/>
        <w:jc w:val="both"/>
        <w:rPr>
          <w:rFonts w:ascii="Times New Roman" w:hAnsi="Times New Roman" w:cs="Times New Roman"/>
          <w:sz w:val="28"/>
          <w:szCs w:val="28"/>
        </w:rPr>
      </w:pPr>
      <w:r>
        <w:rPr>
          <w:rFonts w:ascii="Times New Roman" w:hAnsi="Times New Roman" w:cs="Times New Roman"/>
          <w:sz w:val="28"/>
          <w:szCs w:val="28"/>
        </w:rPr>
        <w:t>a) Thường xuyên kiểm tra, giám sát việc thực hiện dân chủ ở cơ sở; kịp thời phát hiện, chấn chỉnh, xử lý hoặc kiến nghị xử lý các hành vi vi phạm theo quy định của pháp luật.</w:t>
      </w:r>
    </w:p>
    <w:p w14:paraId="6728913E">
      <w:pPr>
        <w:shd w:val="clear"/>
        <w:ind w:firstLine="709"/>
        <w:jc w:val="both"/>
        <w:rPr>
          <w:rFonts w:ascii="Times New Roman" w:hAnsi="Times New Roman" w:cs="Times New Roman"/>
          <w:sz w:val="28"/>
          <w:szCs w:val="28"/>
        </w:rPr>
      </w:pPr>
      <w:r>
        <w:rPr>
          <w:rFonts w:ascii="Times New Roman" w:hAnsi="Times New Roman" w:cs="Times New Roman"/>
          <w:sz w:val="28"/>
          <w:szCs w:val="28"/>
        </w:rPr>
        <w:t>b) Kịp thời biểu dương, khen thưởng, nhân rộng các mô hình, cách làm hiệu quả, các tập thể, cá nhân có thành tích tiêu biểu trong thực hiện dân chủ ở cơ sở.</w:t>
      </w:r>
    </w:p>
    <w:p w14:paraId="1A58E72B">
      <w:pPr>
        <w:shd w:val="clear"/>
        <w:ind w:firstLine="709"/>
        <w:jc w:val="both"/>
        <w:rPr>
          <w:rFonts w:ascii="Times New Roman" w:hAnsi="Times New Roman" w:cs="Times New Roman"/>
          <w:sz w:val="28"/>
          <w:szCs w:val="28"/>
        </w:rPr>
      </w:pPr>
      <w:r>
        <w:rPr>
          <w:rFonts w:ascii="Times New Roman" w:hAnsi="Times New Roman" w:cs="Times New Roman"/>
          <w:sz w:val="28"/>
          <w:szCs w:val="28"/>
        </w:rPr>
        <w:t>c) Xử lý nghiêm các hành vi lợi dụng dân chủ để vi phạm pháp luật, xâm phạm quyền, lợi ích hợp pháp của Nhà nước, tổ chức, cá nhân hoặc cản trở hoạt động bình thường của cơ quan, đơn vị theo quy định của pháp luật.</w:t>
      </w:r>
    </w:p>
    <w:p w14:paraId="778FF613">
      <w:pPr>
        <w:shd w:val="clear"/>
        <w:ind w:firstLine="709"/>
        <w:jc w:val="both"/>
        <w:rPr>
          <w:rFonts w:ascii="Times New Roman" w:hAnsi="Times New Roman" w:cs="Times New Roman"/>
          <w:b/>
          <w:bCs/>
          <w:sz w:val="28"/>
          <w:szCs w:val="28"/>
        </w:rPr>
      </w:pPr>
      <w:r>
        <w:rPr>
          <w:rFonts w:ascii="Times New Roman" w:hAnsi="Times New Roman" w:cs="Times New Roman"/>
          <w:b/>
          <w:bCs/>
          <w:sz w:val="28"/>
          <w:szCs w:val="28"/>
        </w:rPr>
        <w:t>Điều 4. Kinh phí thực hiện</w:t>
      </w:r>
    </w:p>
    <w:p w14:paraId="79C31A43">
      <w:pPr>
        <w:shd w:val="clear"/>
        <w:ind w:firstLine="709"/>
        <w:jc w:val="both"/>
        <w:rPr>
          <w:rFonts w:ascii="Times New Roman" w:hAnsi="Times New Roman" w:cs="Times New Roman"/>
          <w:sz w:val="28"/>
          <w:szCs w:val="28"/>
        </w:rPr>
      </w:pPr>
      <w:r>
        <w:rPr>
          <w:rFonts w:ascii="Times New Roman" w:hAnsi="Times New Roman" w:cs="Times New Roman"/>
          <w:sz w:val="28"/>
          <w:szCs w:val="28"/>
        </w:rPr>
        <w:t>Kinh phí thực hiện Nghị quyết được bảo đảm từ ngân sách nhà nước theo phân cấp quản lý ngân sách hiện hành, được bố trí trong dự toán chi thường xuyên hằng năm của Ủy ban nhân dân phường và các cơ quan, đơn vị có liên quan theo quy định của pháp luật; đồng thời huy động các nguồn lực hợp pháp khác để phục vụ việc thực hiện dân chủ ở cơ sở.</w:t>
      </w:r>
    </w:p>
    <w:p w14:paraId="4425C242">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Điều 5. Tổ chức thực hiện</w:t>
      </w:r>
    </w:p>
    <w:p w14:paraId="13444264">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1. Giao Ủy ban nhân dân phường Dầu Giây tổ chức triển khai thực hiện Nghị quyết; xây dựng kế hoạch, phân công trách nhiệm cụ thể cho các cơ quan, đơn vị, khu phố; định kỳ đánh giá kết quả thực hiện, kịp thời đề xuất các giải pháp nâng cao hiệu quả thực hiện dân chủ ở cơ sở. </w:t>
      </w:r>
    </w:p>
    <w:p w14:paraId="32BF3BCD">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2. Các Ban của Hội đồng nhân dân, Tổ đại biểu Hội đồng nhân dân và đại biểu Hội đồng nhân dân phường trong phạm vi nhiệm vụ, quyền hạn của mình giám sát việc thực hiện Nghị quyết. </w:t>
      </w:r>
    </w:p>
    <w:p w14:paraId="30A8DC7F">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3. Đề nghị Ủy ban Mặt trận Tổ quốc Việt Nam phường và các tổ chức chính trị - xã hội phối hợp tuyên truyền, vận động Nhân dân thực hiện Nghị quyết; phát huy vai trò giám sát, phản biện xã hội; tổng hợp ý kiến, kiến nghị của Nhân dân phản ánh đến cơ quan có thẩm quyền xem xét, giải quyết theo quy định của pháp luật. </w:t>
      </w:r>
    </w:p>
    <w:p w14:paraId="3ABF7413">
      <w:pPr>
        <w:shd w:val="clear"/>
        <w:ind w:firstLine="709"/>
        <w:jc w:val="both"/>
        <w:rPr>
          <w:rFonts w:ascii="Times New Roman" w:hAnsi="Times New Roman" w:cs="Times New Roman"/>
          <w:sz w:val="28"/>
          <w:szCs w:val="28"/>
        </w:rPr>
      </w:pPr>
      <w:r>
        <w:rPr>
          <w:rFonts w:ascii="Times New Roman" w:hAnsi="Times New Roman" w:cs="Times New Roman"/>
          <w:b/>
          <w:bCs/>
          <w:sz w:val="28"/>
          <w:szCs w:val="28"/>
        </w:rPr>
        <w:t>Điều 6. Hiệu lực thi hành</w:t>
      </w:r>
    </w:p>
    <w:p w14:paraId="108169D5">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1. Nghị quyết này có hiệu lực kể từ ngày ... tháng ... năm 2026. </w:t>
      </w:r>
    </w:p>
    <w:p w14:paraId="40541BDE">
      <w:pPr>
        <w:shd w:val="clear"/>
        <w:ind w:firstLine="709"/>
        <w:jc w:val="both"/>
        <w:rPr>
          <w:rFonts w:ascii="Times New Roman" w:hAnsi="Times New Roman" w:cs="Times New Roman"/>
          <w:sz w:val="28"/>
          <w:szCs w:val="28"/>
        </w:rPr>
      </w:pPr>
      <w:r>
        <w:rPr>
          <w:rFonts w:ascii="Times New Roman" w:hAnsi="Times New Roman" w:cs="Times New Roman"/>
          <w:sz w:val="28"/>
          <w:szCs w:val="28"/>
        </w:rPr>
        <w:t xml:space="preserve">2. Trường hợp văn bản quy phạm pháp luật được viện dẫn tại Nghị quyết này được sửa đổi, bổ sung hoặc thay thế thì thực hiện theo văn bản quy phạm pháp luật mới. </w:t>
      </w:r>
    </w:p>
    <w:p w14:paraId="50959EC8">
      <w:pPr>
        <w:shd w:val="clear"/>
        <w:ind w:firstLine="709"/>
        <w:jc w:val="both"/>
        <w:rPr>
          <w:rFonts w:ascii="Times New Roman" w:hAnsi="Times New Roman" w:cs="Times New Roman"/>
          <w:sz w:val="28"/>
          <w:szCs w:val="28"/>
        </w:rPr>
      </w:pPr>
      <w:r>
        <w:rPr>
          <w:rFonts w:ascii="Times New Roman" w:hAnsi="Times New Roman" w:cs="Times New Roman"/>
          <w:sz w:val="28"/>
          <w:szCs w:val="28"/>
        </w:rPr>
        <w:t>Nghị quyết này đã được Hội đồng nhân dân phường Dầu Giây khóa I, Kỳ họp thứ ……. thông qua ngày ... tháng ... năm 2026./.</w:t>
      </w:r>
    </w:p>
    <w:p w14:paraId="4E5E6C61">
      <w:pPr>
        <w:shd w:val="clear"/>
        <w:ind w:firstLine="709"/>
        <w:jc w:val="both"/>
        <w:rPr>
          <w:rFonts w:ascii="Times New Roman" w:hAnsi="Times New Roman" w:cs="Times New Roman"/>
          <w:sz w:val="28"/>
          <w:szCs w:val="28"/>
        </w:rPr>
      </w:pPr>
    </w:p>
    <w:tbl>
      <w:tblPr>
        <w:tblStyle w:val="12"/>
        <w:tblW w:w="0" w:type="auto"/>
        <w:tblInd w:w="108"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195"/>
        <w:gridCol w:w="3935"/>
      </w:tblGrid>
      <w:tr w14:paraId="17D74C4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245" w:type="dxa"/>
          </w:tcPr>
          <w:p w14:paraId="20CC74AF">
            <w:pPr>
              <w:shd w:val="clear"/>
              <w:spacing w:after="0" w:line="240" w:lineRule="auto"/>
              <w:rPr>
                <w:rFonts w:ascii="Times New Roman" w:hAnsi="Times New Roman" w:cs="Times New Roman"/>
                <w:b/>
                <w:bCs/>
                <w:i/>
                <w:iCs/>
                <w:sz w:val="22"/>
                <w:szCs w:val="22"/>
              </w:rPr>
            </w:pPr>
            <w:r>
              <w:rPr>
                <w:rFonts w:ascii="Times New Roman" w:hAnsi="Times New Roman" w:cs="Times New Roman"/>
                <w:b/>
                <w:bCs/>
                <w:i/>
                <w:iCs/>
                <w:sz w:val="22"/>
                <w:szCs w:val="22"/>
                <w:lang w:eastAsia="zh-CN"/>
              </w:rPr>
              <w:t>Nơi nhận:</w:t>
            </w:r>
          </w:p>
          <w:p w14:paraId="5EA52DE5">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Thường trực HĐND, UBND Thành phố;</w:t>
            </w:r>
          </w:p>
          <w:p w14:paraId="01DE9F9C">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Thường trực Đảng ủy phường;</w:t>
            </w:r>
          </w:p>
          <w:p w14:paraId="549DC8FC">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Thường trực HĐND phường, các ban HĐND phường;</w:t>
            </w:r>
          </w:p>
          <w:p w14:paraId="443456EC">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Chủ tịch, Phó Chủ tịch UBND phường:</w:t>
            </w:r>
          </w:p>
          <w:p w14:paraId="26F77161">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Các vị Đại biểu HĐND phường;</w:t>
            </w:r>
          </w:p>
          <w:p w14:paraId="7DC56150">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Các cơ quan, ban ngành phường;</w:t>
            </w:r>
          </w:p>
          <w:p w14:paraId="18333A6B">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UB.MTTQVN phường;</w:t>
            </w:r>
          </w:p>
          <w:p w14:paraId="0054D432">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Trưởng các khu phố;</w:t>
            </w:r>
          </w:p>
          <w:p w14:paraId="515D33EA">
            <w:pPr>
              <w:shd w:val="clear"/>
              <w:tabs>
                <w:tab w:val="center" w:pos="1418"/>
                <w:tab w:val="center" w:pos="666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zh-CN"/>
              </w:rPr>
              <w:t>- Chánh, Phó Văn phòng HĐND-UBND phường;</w:t>
            </w:r>
          </w:p>
          <w:p w14:paraId="7F9D8939">
            <w:pPr>
              <w:shd w:val="clear"/>
              <w:spacing w:after="0" w:line="240" w:lineRule="auto"/>
              <w:rPr>
                <w:rFonts w:ascii="Times New Roman" w:hAnsi="Times New Roman" w:cs="Times New Roman"/>
                <w:bCs/>
                <w:iCs/>
                <w:sz w:val="22"/>
                <w:szCs w:val="22"/>
              </w:rPr>
            </w:pPr>
            <w:r>
              <w:rPr>
                <w:rFonts w:ascii="Times New Roman" w:hAnsi="Times New Roman" w:cs="Times New Roman"/>
                <w:sz w:val="22"/>
                <w:szCs w:val="22"/>
              </w:rPr>
              <w:t>- Lưu: VT.</w:t>
            </w:r>
          </w:p>
        </w:tc>
        <w:tc>
          <w:tcPr>
            <w:tcW w:w="3969" w:type="dxa"/>
          </w:tcPr>
          <w:p w14:paraId="696C0C03">
            <w:pPr>
              <w:shd w:val="clear"/>
              <w:spacing w:after="0" w:line="240" w:lineRule="auto"/>
              <w:jc w:val="center"/>
              <w:rPr>
                <w:rFonts w:ascii="Times New Roman" w:hAnsi="Times New Roman" w:cs="Times New Roman"/>
                <w:b/>
                <w:bCs/>
                <w:iCs/>
                <w:sz w:val="28"/>
                <w:szCs w:val="28"/>
              </w:rPr>
            </w:pPr>
            <w:r>
              <w:rPr>
                <w:rFonts w:ascii="Times New Roman" w:hAnsi="Times New Roman" w:cs="Times New Roman"/>
                <w:b/>
                <w:bCs/>
                <w:iCs/>
                <w:sz w:val="28"/>
                <w:szCs w:val="28"/>
              </w:rPr>
              <w:t>TM. HĐND PHƯỜNG</w:t>
            </w:r>
          </w:p>
          <w:p w14:paraId="59A6498A">
            <w:pPr>
              <w:shd w:val="clear"/>
              <w:spacing w:after="0" w:line="240" w:lineRule="auto"/>
              <w:jc w:val="center"/>
              <w:rPr>
                <w:rFonts w:ascii="Times New Roman" w:hAnsi="Times New Roman" w:cs="Times New Roman"/>
                <w:sz w:val="28"/>
                <w:szCs w:val="28"/>
              </w:rPr>
            </w:pPr>
            <w:r>
              <w:rPr>
                <w:rFonts w:ascii="Times New Roman" w:hAnsi="Times New Roman" w:cs="Times New Roman"/>
                <w:b/>
                <w:bCs/>
                <w:iCs/>
                <w:sz w:val="28"/>
                <w:szCs w:val="28"/>
              </w:rPr>
              <w:t>CHỦ TỊCH</w:t>
            </w:r>
          </w:p>
          <w:p w14:paraId="5B601A75">
            <w:pPr>
              <w:shd w:val="clear"/>
              <w:spacing w:after="0" w:line="240" w:lineRule="auto"/>
              <w:jc w:val="center"/>
              <w:rPr>
                <w:rFonts w:ascii="Times New Roman" w:hAnsi="Times New Roman" w:cs="Times New Roman"/>
                <w:sz w:val="22"/>
                <w:szCs w:val="22"/>
              </w:rPr>
            </w:pPr>
          </w:p>
          <w:p w14:paraId="10E3E6DA">
            <w:pPr>
              <w:shd w:val="clear"/>
              <w:jc w:val="center"/>
              <w:rPr>
                <w:rFonts w:ascii="Times New Roman" w:hAnsi="Times New Roman" w:cs="Times New Roman"/>
                <w:sz w:val="22"/>
                <w:szCs w:val="22"/>
              </w:rPr>
            </w:pPr>
          </w:p>
          <w:p w14:paraId="121C05B3">
            <w:pPr>
              <w:shd w:val="clear"/>
              <w:jc w:val="center"/>
              <w:rPr>
                <w:rFonts w:ascii="Times New Roman" w:hAnsi="Times New Roman" w:cs="Times New Roman"/>
                <w:sz w:val="22"/>
                <w:szCs w:val="22"/>
              </w:rPr>
            </w:pPr>
          </w:p>
          <w:p w14:paraId="56B2B883">
            <w:pPr>
              <w:shd w:val="clear"/>
              <w:rPr>
                <w:rFonts w:ascii="Times New Roman" w:hAnsi="Times New Roman" w:cs="Times New Roman"/>
                <w:sz w:val="22"/>
                <w:szCs w:val="22"/>
              </w:rPr>
            </w:pPr>
          </w:p>
          <w:p w14:paraId="215D6ACF">
            <w:pPr>
              <w:shd w:val="clear"/>
              <w:jc w:val="center"/>
              <w:rPr>
                <w:rFonts w:ascii="Times New Roman" w:hAnsi="Times New Roman" w:cs="Times New Roman"/>
                <w:b/>
                <w:bCs/>
                <w:sz w:val="28"/>
                <w:szCs w:val="28"/>
              </w:rPr>
            </w:pPr>
            <w:r>
              <w:rPr>
                <w:rFonts w:ascii="Times New Roman" w:hAnsi="Times New Roman" w:cs="Times New Roman"/>
                <w:b/>
                <w:bCs/>
                <w:sz w:val="28"/>
                <w:szCs w:val="28"/>
              </w:rPr>
              <w:t>Cao Tiến Sỹ</w:t>
            </w:r>
          </w:p>
        </w:tc>
      </w:tr>
    </w:tbl>
    <w:p w14:paraId="0FF0B7EB">
      <w:pPr>
        <w:shd w:val="clear"/>
        <w:ind w:firstLine="709"/>
        <w:jc w:val="both"/>
        <w:rPr>
          <w:rFonts w:ascii="Times New Roman" w:hAnsi="Times New Roman" w:cs="Times New Roman"/>
          <w:sz w:val="28"/>
          <w:szCs w:val="28"/>
        </w:rPr>
      </w:pPr>
    </w:p>
    <w:p w14:paraId="23CDA68B">
      <w:pPr>
        <w:shd w:val="clear"/>
        <w:jc w:val="both"/>
        <w:rPr>
          <w:rFonts w:ascii="Times New Roman" w:hAnsi="Times New Roman" w:cs="Times New Roman"/>
          <w:sz w:val="28"/>
          <w:szCs w:val="28"/>
        </w:rPr>
      </w:pPr>
    </w:p>
    <w:sectPr>
      <w:pgSz w:w="11906" w:h="16838"/>
      <w:pgMar w:top="1134" w:right="1041" w:bottom="993" w:left="184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VnTime">
    <w:panose1 w:val="020B72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gutterAtTop/>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01"/>
    <w:rsid w:val="00060909"/>
    <w:rsid w:val="000E684B"/>
    <w:rsid w:val="001A0FE9"/>
    <w:rsid w:val="00231B42"/>
    <w:rsid w:val="00271B44"/>
    <w:rsid w:val="003D1D7E"/>
    <w:rsid w:val="00460D74"/>
    <w:rsid w:val="004E1EFF"/>
    <w:rsid w:val="005B2A01"/>
    <w:rsid w:val="005B4D27"/>
    <w:rsid w:val="00601404"/>
    <w:rsid w:val="00605EEC"/>
    <w:rsid w:val="00663307"/>
    <w:rsid w:val="006E6596"/>
    <w:rsid w:val="00732409"/>
    <w:rsid w:val="00773C97"/>
    <w:rsid w:val="007D27A8"/>
    <w:rsid w:val="008345FB"/>
    <w:rsid w:val="00880DC5"/>
    <w:rsid w:val="008B7B7C"/>
    <w:rsid w:val="00932C96"/>
    <w:rsid w:val="00961823"/>
    <w:rsid w:val="00975D8A"/>
    <w:rsid w:val="00A44ED8"/>
    <w:rsid w:val="00B57746"/>
    <w:rsid w:val="00B86317"/>
    <w:rsid w:val="00CB2768"/>
    <w:rsid w:val="00CB5AEC"/>
    <w:rsid w:val="00CD26E7"/>
    <w:rsid w:val="00CE45A5"/>
    <w:rsid w:val="00CF7F2A"/>
    <w:rsid w:val="00D05BBA"/>
    <w:rsid w:val="00D22841"/>
    <w:rsid w:val="00D323CE"/>
    <w:rsid w:val="00D34561"/>
    <w:rsid w:val="00EE4477"/>
    <w:rsid w:val="00F122D3"/>
    <w:rsid w:val="00F64FB5"/>
    <w:rsid w:val="00F95951"/>
    <w:rsid w:val="00FE1D7F"/>
    <w:rsid w:val="00FF4545"/>
    <w:rsid w:val="00FF70D1"/>
    <w:rsid w:val="405D1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2054</Words>
  <Characters>7296</Characters>
  <Lines>67</Lines>
  <Paragraphs>19</Paragraphs>
  <TotalTime>22</TotalTime>
  <ScaleCrop>false</ScaleCrop>
  <LinksUpToDate>false</LinksUpToDate>
  <CharactersWithSpaces>9343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2026-07-27T03:41:00Z</dcterms:created>
  <dc:creator>HP</dc:creator>
  <cp:lastModifiedBy>Minh Đức Dương</cp:lastModifiedBy>
  <cp:lastPrinted>2026-07-24T06:55:00Z</cp:lastPrinted>
  <dcterms:modified xsi:type="dcterms:W3CDTF">2026-10-23T04:23:04Z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eyJoZGlkIjoiY2EwZmI0YjE0ODg4ZDk5ZWExYjQ4NWZkMmMwODE2M2EiLCJ1c2VySWQiOiI4ODEzOTUxMTIzNjQ4In0=</vt:lpwstr>
  </property>
  <property fmtid="{D5CDD505-2E9C-101B-9397-08002B2CF9AE}" pid="3" name="KSOProductBuildVer">
    <vt:lpwstr>1033-12.1.0.29162</vt:lpwstr>
  </property>
  <property fmtid="{D5CDD505-2E9C-101B-9397-08002B2CF9AE}" pid="4" name="ICV">
    <vt:lpwstr>A2935A38367142DB94F1C0E510ECEF3E_12</vt:lpwstr>
  </property>
</Properties>
</file>